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AC08" w14:textId="77777777" w:rsidR="00265DF2" w:rsidRPr="00265DF2" w:rsidRDefault="00265DF2" w:rsidP="00562B37">
      <w:pPr>
        <w:jc w:val="both"/>
        <w:rPr>
          <w:rFonts w:ascii="Times New Roman" w:hAnsi="Times New Roman" w:cs="Times New Roman"/>
          <w:b/>
          <w:bCs/>
          <w:sz w:val="24"/>
          <w:szCs w:val="24"/>
          <w:lang w:val="es-MX"/>
        </w:rPr>
      </w:pPr>
      <w:r w:rsidRPr="00265DF2">
        <w:rPr>
          <w:rFonts w:ascii="Times New Roman" w:hAnsi="Times New Roman" w:cs="Times New Roman"/>
          <w:b/>
          <w:bCs/>
          <w:sz w:val="24"/>
          <w:szCs w:val="24"/>
          <w:lang w:val="es-MX"/>
        </w:rPr>
        <w:t>Emilio Sánchez-Santiago</w:t>
      </w:r>
    </w:p>
    <w:p w14:paraId="3DC795A2" w14:textId="77777777" w:rsidR="00265DF2" w:rsidRPr="00265DF2" w:rsidRDefault="00265DF2" w:rsidP="00562B37">
      <w:p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Professional Profile</w:t>
      </w:r>
    </w:p>
    <w:p w14:paraId="2CC442D1" w14:textId="77777777" w:rsidR="00265DF2" w:rsidRPr="00265DF2" w:rsidRDefault="00265DF2" w:rsidP="00562B37">
      <w:p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 xml:space="preserve">Born in Mexico City, Emilio holds a </w:t>
      </w:r>
      <w:r w:rsidRPr="00265DF2">
        <w:rPr>
          <w:rFonts w:ascii="Times New Roman" w:hAnsi="Times New Roman" w:cs="Times New Roman"/>
          <w:b/>
          <w:bCs/>
          <w:sz w:val="24"/>
          <w:szCs w:val="24"/>
          <w:lang w:val="es-MX"/>
        </w:rPr>
        <w:t>Bachelor’s degree in Economics</w:t>
      </w:r>
      <w:r w:rsidRPr="00265DF2">
        <w:rPr>
          <w:rFonts w:ascii="Times New Roman" w:hAnsi="Times New Roman" w:cs="Times New Roman"/>
          <w:sz w:val="24"/>
          <w:szCs w:val="24"/>
          <w:lang w:val="es-MX"/>
        </w:rPr>
        <w:t xml:space="preserve"> from the </w:t>
      </w:r>
      <w:r w:rsidRPr="00265DF2">
        <w:rPr>
          <w:rFonts w:ascii="Times New Roman" w:hAnsi="Times New Roman" w:cs="Times New Roman"/>
          <w:i/>
          <w:iCs/>
          <w:sz w:val="24"/>
          <w:szCs w:val="24"/>
          <w:lang w:val="es-MX"/>
        </w:rPr>
        <w:t>Universidad Nacional Autónoma de México</w:t>
      </w:r>
      <w:r w:rsidRPr="00265DF2">
        <w:rPr>
          <w:rFonts w:ascii="Times New Roman" w:hAnsi="Times New Roman" w:cs="Times New Roman"/>
          <w:sz w:val="24"/>
          <w:szCs w:val="24"/>
          <w:lang w:val="es-MX"/>
        </w:rPr>
        <w:t xml:space="preserve"> (1970) and a </w:t>
      </w:r>
      <w:r w:rsidRPr="00265DF2">
        <w:rPr>
          <w:rFonts w:ascii="Times New Roman" w:hAnsi="Times New Roman" w:cs="Times New Roman"/>
          <w:b/>
          <w:bCs/>
          <w:sz w:val="24"/>
          <w:szCs w:val="24"/>
          <w:lang w:val="es-MX"/>
        </w:rPr>
        <w:t>Master’s degree in Law &amp; Diplomacy</w:t>
      </w:r>
      <w:r w:rsidRPr="00265DF2">
        <w:rPr>
          <w:rFonts w:ascii="Times New Roman" w:hAnsi="Times New Roman" w:cs="Times New Roman"/>
          <w:sz w:val="24"/>
          <w:szCs w:val="24"/>
          <w:lang w:val="es-MX"/>
        </w:rPr>
        <w:t xml:space="preserve"> from </w:t>
      </w:r>
      <w:r w:rsidRPr="00265DF2">
        <w:rPr>
          <w:rFonts w:ascii="Times New Roman" w:hAnsi="Times New Roman" w:cs="Times New Roman"/>
          <w:i/>
          <w:iCs/>
          <w:sz w:val="24"/>
          <w:szCs w:val="24"/>
          <w:lang w:val="es-MX"/>
        </w:rPr>
        <w:t>The Fletcher School at Tufts University</w:t>
      </w:r>
      <w:r w:rsidRPr="00265DF2">
        <w:rPr>
          <w:rFonts w:ascii="Times New Roman" w:hAnsi="Times New Roman" w:cs="Times New Roman"/>
          <w:sz w:val="24"/>
          <w:szCs w:val="24"/>
          <w:lang w:val="es-MX"/>
        </w:rPr>
        <w:t xml:space="preserve"> (1972). He was awarded a prestigious </w:t>
      </w:r>
      <w:r w:rsidRPr="00265DF2">
        <w:rPr>
          <w:rFonts w:ascii="Times New Roman" w:hAnsi="Times New Roman" w:cs="Times New Roman"/>
          <w:b/>
          <w:bCs/>
          <w:sz w:val="24"/>
          <w:szCs w:val="24"/>
          <w:lang w:val="es-MX"/>
        </w:rPr>
        <w:t>Fulbright Scholarship</w:t>
      </w:r>
      <w:r w:rsidRPr="00265DF2">
        <w:rPr>
          <w:rFonts w:ascii="Times New Roman" w:hAnsi="Times New Roman" w:cs="Times New Roman"/>
          <w:sz w:val="24"/>
          <w:szCs w:val="24"/>
          <w:lang w:val="es-MX"/>
        </w:rPr>
        <w:t xml:space="preserve"> to pursue graduate studies in the United States.</w:t>
      </w:r>
    </w:p>
    <w:p w14:paraId="00441309" w14:textId="77777777" w:rsidR="00265DF2" w:rsidRPr="00265DF2" w:rsidRDefault="00265DF2" w:rsidP="00562B37">
      <w:p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Emilio has built a distinguished career in international banking, capital markets, and corporate restructuring, with over four decades of senior leadership experience across Latin America, the United States, and Asia. He has held top executive roles at global financial institutions, founded and managed his own investment ventures, and advised governments and corporations during periods of financial transition and crisis.</w:t>
      </w:r>
    </w:p>
    <w:p w14:paraId="4E9B0235" w14:textId="77777777" w:rsidR="00265DF2" w:rsidRPr="00265DF2" w:rsidRDefault="00265DF2" w:rsidP="00562B37">
      <w:pPr>
        <w:jc w:val="both"/>
        <w:rPr>
          <w:rFonts w:ascii="Times New Roman" w:hAnsi="Times New Roman" w:cs="Times New Roman"/>
          <w:b/>
          <w:bCs/>
          <w:sz w:val="24"/>
          <w:szCs w:val="24"/>
          <w:lang w:val="es-MX"/>
        </w:rPr>
      </w:pPr>
      <w:r w:rsidRPr="00265DF2">
        <w:rPr>
          <w:rFonts w:ascii="Times New Roman" w:hAnsi="Times New Roman" w:cs="Times New Roman"/>
          <w:b/>
          <w:bCs/>
          <w:sz w:val="24"/>
          <w:szCs w:val="24"/>
          <w:lang w:val="es-MX"/>
        </w:rPr>
        <w:t>Career Highlights</w:t>
      </w:r>
    </w:p>
    <w:p w14:paraId="2BB07F1A"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Citibank (1972–1988)</w:t>
      </w:r>
      <w:r w:rsidRPr="00265DF2">
        <w:rPr>
          <w:rFonts w:ascii="Times New Roman" w:hAnsi="Times New Roman" w:cs="Times New Roman"/>
          <w:sz w:val="24"/>
          <w:szCs w:val="24"/>
          <w:lang w:val="es-MX"/>
        </w:rPr>
        <w:t xml:space="preserve"> – Began career in agribusiness and public sector financing; advanced to </w:t>
      </w:r>
      <w:r w:rsidRPr="00265DF2">
        <w:rPr>
          <w:rFonts w:ascii="Times New Roman" w:hAnsi="Times New Roman" w:cs="Times New Roman"/>
          <w:b/>
          <w:bCs/>
          <w:sz w:val="24"/>
          <w:szCs w:val="24"/>
          <w:lang w:val="es-MX"/>
        </w:rPr>
        <w:t>Senior Vice President &amp; Regional Director</w:t>
      </w:r>
      <w:r w:rsidRPr="00265DF2">
        <w:rPr>
          <w:rFonts w:ascii="Times New Roman" w:hAnsi="Times New Roman" w:cs="Times New Roman"/>
          <w:sz w:val="24"/>
          <w:szCs w:val="24"/>
          <w:lang w:val="es-MX"/>
        </w:rPr>
        <w:t>, overseeing operations across Mexico, Central America, Panama, and later all of Latin America from New York.</w:t>
      </w:r>
    </w:p>
    <w:p w14:paraId="2D08D420"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The Chase Manhattan Bank (1988–1990)</w:t>
      </w:r>
      <w:r w:rsidRPr="00265DF2">
        <w:rPr>
          <w:rFonts w:ascii="Times New Roman" w:hAnsi="Times New Roman" w:cs="Times New Roman"/>
          <w:sz w:val="24"/>
          <w:szCs w:val="24"/>
          <w:lang w:val="es-MX"/>
        </w:rPr>
        <w:t xml:space="preserve"> – Served as </w:t>
      </w:r>
      <w:r w:rsidRPr="00265DF2">
        <w:rPr>
          <w:rFonts w:ascii="Times New Roman" w:hAnsi="Times New Roman" w:cs="Times New Roman"/>
          <w:b/>
          <w:bCs/>
          <w:sz w:val="24"/>
          <w:szCs w:val="24"/>
          <w:lang w:val="es-MX"/>
        </w:rPr>
        <w:t>Senior Vice President for Latin America</w:t>
      </w:r>
      <w:r w:rsidRPr="00265DF2">
        <w:rPr>
          <w:rFonts w:ascii="Times New Roman" w:hAnsi="Times New Roman" w:cs="Times New Roman"/>
          <w:sz w:val="24"/>
          <w:szCs w:val="24"/>
          <w:lang w:val="es-MX"/>
        </w:rPr>
        <w:t>, responsible for business development and regional management.</w:t>
      </w:r>
    </w:p>
    <w:p w14:paraId="46BE94A2"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Casa de Bolsa México (1990–1993)</w:t>
      </w:r>
      <w:r w:rsidRPr="00265DF2">
        <w:rPr>
          <w:rFonts w:ascii="Times New Roman" w:hAnsi="Times New Roman" w:cs="Times New Roman"/>
          <w:sz w:val="24"/>
          <w:szCs w:val="24"/>
          <w:lang w:val="es-MX"/>
        </w:rPr>
        <w:t xml:space="preserve"> – CEO &amp; investor of a securities brokerage firm; successfully managed operations and executed its sale to private investors.</w:t>
      </w:r>
    </w:p>
    <w:p w14:paraId="1858EFDC"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Nomura Securities (1993–1995)</w:t>
      </w:r>
      <w:r w:rsidRPr="00265DF2">
        <w:rPr>
          <w:rFonts w:ascii="Times New Roman" w:hAnsi="Times New Roman" w:cs="Times New Roman"/>
          <w:sz w:val="24"/>
          <w:szCs w:val="24"/>
          <w:lang w:val="es-MX"/>
        </w:rPr>
        <w:t xml:space="preserve"> – Senior Representative in Mexico, developing capital markets business and strategic relationships.</w:t>
      </w:r>
    </w:p>
    <w:p w14:paraId="26F678B4"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Banco Inverlat (1995–1997)</w:t>
      </w:r>
      <w:r w:rsidRPr="00265DF2">
        <w:rPr>
          <w:rFonts w:ascii="Times New Roman" w:hAnsi="Times New Roman" w:cs="Times New Roman"/>
          <w:sz w:val="24"/>
          <w:szCs w:val="24"/>
          <w:lang w:val="es-MX"/>
        </w:rPr>
        <w:t xml:space="preserve"> – Appointed </w:t>
      </w:r>
      <w:r w:rsidRPr="00265DF2">
        <w:rPr>
          <w:rFonts w:ascii="Times New Roman" w:hAnsi="Times New Roman" w:cs="Times New Roman"/>
          <w:b/>
          <w:bCs/>
          <w:sz w:val="24"/>
          <w:szCs w:val="24"/>
          <w:lang w:val="es-MX"/>
        </w:rPr>
        <w:t>CEO</w:t>
      </w:r>
      <w:r w:rsidRPr="00265DF2">
        <w:rPr>
          <w:rFonts w:ascii="Times New Roman" w:hAnsi="Times New Roman" w:cs="Times New Roman"/>
          <w:sz w:val="24"/>
          <w:szCs w:val="24"/>
          <w:lang w:val="es-MX"/>
        </w:rPr>
        <w:t>, leading its stabilization and restructuring, culminating in a successful transfer of control.</w:t>
      </w:r>
    </w:p>
    <w:p w14:paraId="58816A8E"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KPMG Mexico (1997–2006)</w:t>
      </w:r>
      <w:r w:rsidRPr="00265DF2">
        <w:rPr>
          <w:rFonts w:ascii="Times New Roman" w:hAnsi="Times New Roman" w:cs="Times New Roman"/>
          <w:sz w:val="24"/>
          <w:szCs w:val="24"/>
          <w:lang w:val="es-MX"/>
        </w:rPr>
        <w:t xml:space="preserve"> – Joined as Partner following the merger of Barents Group with KPMG; founded and led </w:t>
      </w:r>
      <w:r w:rsidRPr="00265DF2">
        <w:rPr>
          <w:rFonts w:ascii="Times New Roman" w:hAnsi="Times New Roman" w:cs="Times New Roman"/>
          <w:b/>
          <w:bCs/>
          <w:sz w:val="24"/>
          <w:szCs w:val="24"/>
          <w:lang w:val="es-MX"/>
        </w:rPr>
        <w:t>Corporate Finance, Bankruptcy &amp; Turnaround, Due Diligence, and Forensic Accounting</w:t>
      </w:r>
      <w:r w:rsidRPr="00265DF2">
        <w:rPr>
          <w:rFonts w:ascii="Times New Roman" w:hAnsi="Times New Roman" w:cs="Times New Roman"/>
          <w:sz w:val="24"/>
          <w:szCs w:val="24"/>
          <w:lang w:val="es-MX"/>
        </w:rPr>
        <w:t xml:space="preserve"> practices.</w:t>
      </w:r>
    </w:p>
    <w:p w14:paraId="77E1A944" w14:textId="77777777" w:rsidR="00265DF2" w:rsidRPr="00265DF2" w:rsidRDefault="00265DF2" w:rsidP="00562B37">
      <w:pPr>
        <w:numPr>
          <w:ilvl w:val="1"/>
          <w:numId w:val="1"/>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Notable assignments include:</w:t>
      </w:r>
    </w:p>
    <w:p w14:paraId="2727942F" w14:textId="77777777" w:rsidR="00265DF2" w:rsidRPr="00265DF2" w:rsidRDefault="00265DF2" w:rsidP="00562B37">
      <w:pPr>
        <w:numPr>
          <w:ilvl w:val="2"/>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Advisor to the Government of South Korea</w:t>
      </w:r>
      <w:r w:rsidRPr="00265DF2">
        <w:rPr>
          <w:rFonts w:ascii="Times New Roman" w:hAnsi="Times New Roman" w:cs="Times New Roman"/>
          <w:sz w:val="24"/>
          <w:szCs w:val="24"/>
          <w:lang w:val="es-MX"/>
        </w:rPr>
        <w:t>, under a World Bank agreement, during the Asian financial crisis.</w:t>
      </w:r>
    </w:p>
    <w:p w14:paraId="346C99EE" w14:textId="77777777" w:rsidR="00265DF2" w:rsidRPr="00265DF2" w:rsidRDefault="00265DF2" w:rsidP="00562B37">
      <w:pPr>
        <w:numPr>
          <w:ilvl w:val="2"/>
          <w:numId w:val="1"/>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 xml:space="preserve">Acted as Mexican-equivalent of </w:t>
      </w:r>
      <w:r w:rsidRPr="00265DF2">
        <w:rPr>
          <w:rFonts w:ascii="Times New Roman" w:hAnsi="Times New Roman" w:cs="Times New Roman"/>
          <w:b/>
          <w:bCs/>
          <w:sz w:val="24"/>
          <w:szCs w:val="24"/>
          <w:lang w:val="es-MX"/>
        </w:rPr>
        <w:t>Bankruptcy Trustee</w:t>
      </w:r>
      <w:r w:rsidRPr="00265DF2">
        <w:rPr>
          <w:rFonts w:ascii="Times New Roman" w:hAnsi="Times New Roman" w:cs="Times New Roman"/>
          <w:sz w:val="24"/>
          <w:szCs w:val="24"/>
          <w:lang w:val="es-MX"/>
        </w:rPr>
        <w:t xml:space="preserve"> for </w:t>
      </w:r>
      <w:r w:rsidRPr="00265DF2">
        <w:rPr>
          <w:rFonts w:ascii="Times New Roman" w:hAnsi="Times New Roman" w:cs="Times New Roman"/>
          <w:i/>
          <w:iCs/>
          <w:sz w:val="24"/>
          <w:szCs w:val="24"/>
          <w:lang w:val="es-MX"/>
        </w:rPr>
        <w:t>Banca Quadrum</w:t>
      </w:r>
      <w:r w:rsidRPr="00265DF2">
        <w:rPr>
          <w:rFonts w:ascii="Times New Roman" w:hAnsi="Times New Roman" w:cs="Times New Roman"/>
          <w:sz w:val="24"/>
          <w:szCs w:val="24"/>
          <w:lang w:val="es-MX"/>
        </w:rPr>
        <w:t xml:space="preserve">, under the auspices of Mexico’s </w:t>
      </w:r>
      <w:r w:rsidRPr="00265DF2">
        <w:rPr>
          <w:rFonts w:ascii="Times New Roman" w:hAnsi="Times New Roman" w:cs="Times New Roman"/>
          <w:i/>
          <w:iCs/>
          <w:sz w:val="24"/>
          <w:szCs w:val="24"/>
          <w:lang w:val="es-MX"/>
        </w:rPr>
        <w:t>Instituto de Protección al Ahorro Bancario (IPAB)</w:t>
      </w:r>
      <w:r w:rsidRPr="00265DF2">
        <w:rPr>
          <w:rFonts w:ascii="Times New Roman" w:hAnsi="Times New Roman" w:cs="Times New Roman"/>
          <w:sz w:val="24"/>
          <w:szCs w:val="24"/>
          <w:lang w:val="es-MX"/>
        </w:rPr>
        <w:t>.</w:t>
      </w:r>
    </w:p>
    <w:p w14:paraId="455A048B"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t>U.S. Commercial Banking Initiative (2006–2008)</w:t>
      </w:r>
      <w:r w:rsidRPr="00265DF2">
        <w:rPr>
          <w:rFonts w:ascii="Times New Roman" w:hAnsi="Times New Roman" w:cs="Times New Roman"/>
          <w:sz w:val="24"/>
          <w:szCs w:val="24"/>
          <w:lang w:val="es-MX"/>
        </w:rPr>
        <w:t xml:space="preserve"> – Led a group of investors aiming to establish a Mexican-owned commercial bank in Los Angeles; project was suspended during the 2008 U.S. financial crisis.</w:t>
      </w:r>
    </w:p>
    <w:p w14:paraId="296D3478" w14:textId="77777777" w:rsidR="00265DF2" w:rsidRPr="00265DF2" w:rsidRDefault="00265DF2" w:rsidP="00562B37">
      <w:pPr>
        <w:numPr>
          <w:ilvl w:val="0"/>
          <w:numId w:val="1"/>
        </w:numPr>
        <w:jc w:val="both"/>
        <w:rPr>
          <w:rFonts w:ascii="Times New Roman" w:hAnsi="Times New Roman" w:cs="Times New Roman"/>
          <w:sz w:val="24"/>
          <w:szCs w:val="24"/>
          <w:lang w:val="es-MX"/>
        </w:rPr>
      </w:pPr>
      <w:r w:rsidRPr="00265DF2">
        <w:rPr>
          <w:rFonts w:ascii="Times New Roman" w:hAnsi="Times New Roman" w:cs="Times New Roman"/>
          <w:b/>
          <w:bCs/>
          <w:sz w:val="24"/>
          <w:szCs w:val="24"/>
          <w:lang w:val="es-MX"/>
        </w:rPr>
        <w:lastRenderedPageBreak/>
        <w:t>Independent Financial Consultant (2008–present)</w:t>
      </w:r>
      <w:r w:rsidRPr="00265DF2">
        <w:rPr>
          <w:rFonts w:ascii="Times New Roman" w:hAnsi="Times New Roman" w:cs="Times New Roman"/>
          <w:sz w:val="24"/>
          <w:szCs w:val="24"/>
          <w:lang w:val="es-MX"/>
        </w:rPr>
        <w:t xml:space="preserve"> – Advises corporations, investors, and boards on financial strategy, restructuring, and governance. Has also served as a </w:t>
      </w:r>
      <w:r w:rsidRPr="00265DF2">
        <w:rPr>
          <w:rFonts w:ascii="Times New Roman" w:hAnsi="Times New Roman" w:cs="Times New Roman"/>
          <w:b/>
          <w:bCs/>
          <w:sz w:val="24"/>
          <w:szCs w:val="24"/>
          <w:lang w:val="es-MX"/>
        </w:rPr>
        <w:t>Board Member</w:t>
      </w:r>
      <w:r w:rsidRPr="00265DF2">
        <w:rPr>
          <w:rFonts w:ascii="Times New Roman" w:hAnsi="Times New Roman" w:cs="Times New Roman"/>
          <w:sz w:val="24"/>
          <w:szCs w:val="24"/>
          <w:lang w:val="es-MX"/>
        </w:rPr>
        <w:t xml:space="preserve"> of various corporations.</w:t>
      </w:r>
    </w:p>
    <w:p w14:paraId="5D82AF9E" w14:textId="77777777" w:rsidR="00265DF2" w:rsidRPr="00265DF2" w:rsidRDefault="00265DF2" w:rsidP="00562B37">
      <w:p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Currently based in Texas, Emilio continues to provide strategic financial advisory services to companies and investors navigating complex business and economic environments.</w:t>
      </w:r>
    </w:p>
    <w:p w14:paraId="799819EF" w14:textId="77777777" w:rsidR="00265DF2" w:rsidRPr="00265DF2" w:rsidRDefault="00265DF2" w:rsidP="00562B37">
      <w:p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pict w14:anchorId="11C1EC37">
          <v:rect id="_x0000_i1031" style="width:0;height:1.5pt" o:hralign="center" o:hrstd="t" o:hr="t" fillcolor="#a0a0a0" stroked="f"/>
        </w:pict>
      </w:r>
    </w:p>
    <w:p w14:paraId="5B27E859" w14:textId="77777777" w:rsidR="00265DF2" w:rsidRPr="00265DF2" w:rsidRDefault="00265DF2" w:rsidP="00562B37">
      <w:pPr>
        <w:jc w:val="both"/>
        <w:rPr>
          <w:rFonts w:ascii="Times New Roman" w:hAnsi="Times New Roman" w:cs="Times New Roman"/>
          <w:b/>
          <w:bCs/>
          <w:sz w:val="24"/>
          <w:szCs w:val="24"/>
          <w:lang w:val="es-MX"/>
        </w:rPr>
      </w:pPr>
      <w:r w:rsidRPr="00265DF2">
        <w:rPr>
          <w:rFonts w:ascii="Times New Roman" w:hAnsi="Times New Roman" w:cs="Times New Roman"/>
          <w:b/>
          <w:bCs/>
          <w:sz w:val="24"/>
          <w:szCs w:val="24"/>
          <w:lang w:val="es-MX"/>
        </w:rPr>
        <w:t>Core Competencies</w:t>
      </w:r>
    </w:p>
    <w:p w14:paraId="2509885C"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Strategic financial restructuring &amp; corporate turnaround</w:t>
      </w:r>
    </w:p>
    <w:p w14:paraId="79C0E5B8"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Credit lending &amp; investment banking leadership across Latin America</w:t>
      </w:r>
    </w:p>
    <w:p w14:paraId="7839BBCD"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Mergers &amp; acquisitions (M&amp;A) execution and advisory</w:t>
      </w:r>
    </w:p>
    <w:p w14:paraId="59E6A055"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 xml:space="preserve">Private equity evaluation, valuation &amp; </w:t>
      </w:r>
      <w:proofErr w:type="gramStart"/>
      <w:r w:rsidRPr="00265DF2">
        <w:rPr>
          <w:rFonts w:ascii="Times New Roman" w:hAnsi="Times New Roman" w:cs="Times New Roman"/>
          <w:sz w:val="24"/>
          <w:szCs w:val="24"/>
          <w:lang w:val="es-MX"/>
        </w:rPr>
        <w:t>portfolio</w:t>
      </w:r>
      <w:proofErr w:type="gramEnd"/>
      <w:r w:rsidRPr="00265DF2">
        <w:rPr>
          <w:rFonts w:ascii="Times New Roman" w:hAnsi="Times New Roman" w:cs="Times New Roman"/>
          <w:sz w:val="24"/>
          <w:szCs w:val="24"/>
          <w:lang w:val="es-MX"/>
        </w:rPr>
        <w:t xml:space="preserve"> advisory</w:t>
      </w:r>
    </w:p>
    <w:p w14:paraId="7FA1B644"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Bank restructuring &amp; financial crisis management</w:t>
      </w:r>
    </w:p>
    <w:p w14:paraId="79DA434A"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Expert financial advisory in legal, regulatory &amp; bankruptcy contexts</w:t>
      </w:r>
    </w:p>
    <w:p w14:paraId="45546000" w14:textId="77777777" w:rsidR="00265DF2" w:rsidRPr="00265DF2" w:rsidRDefault="00265DF2" w:rsidP="00562B37">
      <w:pPr>
        <w:numPr>
          <w:ilvl w:val="0"/>
          <w:numId w:val="2"/>
        </w:numPr>
        <w:jc w:val="both"/>
        <w:rPr>
          <w:rFonts w:ascii="Times New Roman" w:hAnsi="Times New Roman" w:cs="Times New Roman"/>
          <w:sz w:val="24"/>
          <w:szCs w:val="24"/>
          <w:lang w:val="es-MX"/>
        </w:rPr>
      </w:pPr>
      <w:r w:rsidRPr="00265DF2">
        <w:rPr>
          <w:rFonts w:ascii="Times New Roman" w:hAnsi="Times New Roman" w:cs="Times New Roman"/>
          <w:sz w:val="24"/>
          <w:szCs w:val="24"/>
          <w:lang w:val="es-MX"/>
        </w:rPr>
        <w:t>Board-level governance &amp; strategic oversight</w:t>
      </w:r>
    </w:p>
    <w:p w14:paraId="68D208ED" w14:textId="77777777" w:rsidR="002804AC" w:rsidRPr="00562B37" w:rsidRDefault="002804AC" w:rsidP="00562B37">
      <w:pPr>
        <w:jc w:val="both"/>
        <w:rPr>
          <w:rFonts w:ascii="Times New Roman" w:hAnsi="Times New Roman" w:cs="Times New Roman"/>
          <w:sz w:val="24"/>
          <w:szCs w:val="24"/>
        </w:rPr>
      </w:pPr>
    </w:p>
    <w:sectPr w:rsidR="002804AC" w:rsidRPr="00562B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929C4"/>
    <w:multiLevelType w:val="multilevel"/>
    <w:tmpl w:val="D872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36CED"/>
    <w:multiLevelType w:val="multilevel"/>
    <w:tmpl w:val="34D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351327">
    <w:abstractNumId w:val="0"/>
  </w:num>
  <w:num w:numId="2" w16cid:durableId="134736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F2"/>
    <w:rsid w:val="00181D46"/>
    <w:rsid w:val="00206537"/>
    <w:rsid w:val="00265DF2"/>
    <w:rsid w:val="002804AC"/>
    <w:rsid w:val="00562B37"/>
    <w:rsid w:val="005D49DF"/>
    <w:rsid w:val="00AD2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003D"/>
  <w15:chartTrackingRefBased/>
  <w15:docId w15:val="{15ABC473-A384-4A5B-9DBD-793EEDA9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265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5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5D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5D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5D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5D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5D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5D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5D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DF2"/>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semiHidden/>
    <w:rsid w:val="00265DF2"/>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265DF2"/>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265DF2"/>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265DF2"/>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265DF2"/>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265DF2"/>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265DF2"/>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265DF2"/>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265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5DF2"/>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265D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5DF2"/>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265DF2"/>
    <w:pPr>
      <w:spacing w:before="160"/>
      <w:jc w:val="center"/>
    </w:pPr>
    <w:rPr>
      <w:i/>
      <w:iCs/>
      <w:color w:val="404040" w:themeColor="text1" w:themeTint="BF"/>
    </w:rPr>
  </w:style>
  <w:style w:type="character" w:customStyle="1" w:styleId="CitaCar">
    <w:name w:val="Cita Car"/>
    <w:basedOn w:val="Fuentedeprrafopredeter"/>
    <w:link w:val="Cita"/>
    <w:uiPriority w:val="29"/>
    <w:rsid w:val="00265DF2"/>
    <w:rPr>
      <w:i/>
      <w:iCs/>
      <w:color w:val="404040" w:themeColor="text1" w:themeTint="BF"/>
      <w:lang w:val="en-US"/>
    </w:rPr>
  </w:style>
  <w:style w:type="paragraph" w:styleId="Prrafodelista">
    <w:name w:val="List Paragraph"/>
    <w:basedOn w:val="Normal"/>
    <w:uiPriority w:val="34"/>
    <w:qFormat/>
    <w:rsid w:val="00265DF2"/>
    <w:pPr>
      <w:ind w:left="720"/>
      <w:contextualSpacing/>
    </w:pPr>
  </w:style>
  <w:style w:type="character" w:styleId="nfasisintenso">
    <w:name w:val="Intense Emphasis"/>
    <w:basedOn w:val="Fuentedeprrafopredeter"/>
    <w:uiPriority w:val="21"/>
    <w:qFormat/>
    <w:rsid w:val="00265DF2"/>
    <w:rPr>
      <w:i/>
      <w:iCs/>
      <w:color w:val="0F4761" w:themeColor="accent1" w:themeShade="BF"/>
    </w:rPr>
  </w:style>
  <w:style w:type="paragraph" w:styleId="Citadestacada">
    <w:name w:val="Intense Quote"/>
    <w:basedOn w:val="Normal"/>
    <w:next w:val="Normal"/>
    <w:link w:val="CitadestacadaCar"/>
    <w:uiPriority w:val="30"/>
    <w:qFormat/>
    <w:rsid w:val="00265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5DF2"/>
    <w:rPr>
      <w:i/>
      <w:iCs/>
      <w:color w:val="0F4761" w:themeColor="accent1" w:themeShade="BF"/>
      <w:lang w:val="en-US"/>
    </w:rPr>
  </w:style>
  <w:style w:type="character" w:styleId="Referenciaintensa">
    <w:name w:val="Intense Reference"/>
    <w:basedOn w:val="Fuentedeprrafopredeter"/>
    <w:uiPriority w:val="32"/>
    <w:qFormat/>
    <w:rsid w:val="00265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2640</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sanchez santiago</dc:creator>
  <cp:keywords/>
  <dc:description/>
  <cp:lastModifiedBy>emilio sanchez santiago</cp:lastModifiedBy>
  <cp:revision>2</cp:revision>
  <dcterms:created xsi:type="dcterms:W3CDTF">2025-08-18T18:13:00Z</dcterms:created>
  <dcterms:modified xsi:type="dcterms:W3CDTF">2025-08-18T18:15:00Z</dcterms:modified>
</cp:coreProperties>
</file>